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645"/>
      </w:tblGrid>
      <w:tr w:rsidR="00DB25B8" w:rsidRPr="00DB25B8" w:rsidTr="00DB25B8">
        <w:tc>
          <w:tcPr>
            <w:tcW w:w="0" w:type="auto"/>
            <w:gridSpan w:val="2"/>
            <w:vAlign w:val="center"/>
            <w:hideMark/>
          </w:tcPr>
          <w:p w:rsidR="00D4544A" w:rsidRDefault="00DB25B8" w:rsidP="00DB25B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DB25B8">
              <w:rPr>
                <w:rFonts w:ascii="新細明體" w:eastAsia="新細明體" w:hAnsi="新細明體" w:cs="新細明體"/>
                <w:kern w:val="0"/>
                <w:szCs w:val="24"/>
              </w:rPr>
              <w:fldChar w:fldCharType="begin"/>
            </w:r>
            <w:r w:rsidRPr="00DB25B8">
              <w:rPr>
                <w:rFonts w:ascii="新細明體" w:eastAsia="新細明體" w:hAnsi="新細明體" w:cs="新細明體"/>
                <w:kern w:val="0"/>
                <w:szCs w:val="24"/>
              </w:rPr>
              <w:instrText xml:space="preserve"> HYPERLINK "http://locallaw.moj/LawContent.aspx?id=FL010096" </w:instrText>
            </w:r>
            <w:r w:rsidRPr="00DB25B8">
              <w:rPr>
                <w:rFonts w:ascii="新細明體" w:eastAsia="新細明體" w:hAnsi="新細明體" w:cs="新細明體"/>
                <w:kern w:val="0"/>
                <w:szCs w:val="24"/>
              </w:rPr>
              <w:fldChar w:fldCharType="separate"/>
            </w:r>
            <w:r w:rsidRPr="00DB25B8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法務部</w:t>
            </w:r>
            <w:proofErr w:type="gramStart"/>
            <w:r w:rsidRPr="00DB25B8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矯正署泰源</w:t>
            </w:r>
            <w:proofErr w:type="gramEnd"/>
            <w:r w:rsidRPr="00DB25B8"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  <w:t>技能訓練所收容人最近親屬及家屬電話接見應行注意事項</w:t>
            </w:r>
            <w:r w:rsidRPr="00DB25B8">
              <w:rPr>
                <w:rFonts w:ascii="新細明體" w:eastAsia="新細明體" w:hAnsi="新細明體" w:cs="新細明體"/>
                <w:kern w:val="0"/>
                <w:szCs w:val="24"/>
              </w:rPr>
              <w:fldChar w:fldCharType="end"/>
            </w:r>
            <w:r w:rsidRPr="00DB25B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  <w:p w:rsidR="00DB25B8" w:rsidRPr="00DB25B8" w:rsidRDefault="00DB25B8" w:rsidP="00DB25B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0" w:name="_GoBack"/>
            <w:bookmarkEnd w:id="0"/>
            <w:r w:rsidRPr="00DB25B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( 民國 100 年 1 月 6 日 修正 ) 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一、依據法務部 82 年 6  月 30 日法 82 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監字第</w:t>
            </w:r>
            <w:proofErr w:type="gramEnd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1320 號及 83 年 11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月 5  日法（83）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監字第</w:t>
            </w:r>
            <w:proofErr w:type="gramEnd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24043  號函辦理。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2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二、辦理電話接見，需由收容人本人申請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（</w:t>
            </w:r>
            <w:proofErr w:type="gramEnd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或由其最近親屬或家屬來電告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知再由</w:t>
            </w:r>
            <w:proofErr w:type="gramEnd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本所轉告收容人提出申請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）</w:t>
            </w:r>
            <w:proofErr w:type="gramEnd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，受理電話接見名額每日限 80 名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，前 40 名上午辦理，餘為下午辦理，如遇假日則停止辦理，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轉配新</w:t>
            </w:r>
            <w:proofErr w:type="gramEnd"/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單位者順延一星期辦理。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3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三、申請電話接見時間：每日上午 8  時 30 分至 11 時，下午 1  時 3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0 分至 4  時止，如遇例假日則停止辦理申請電話接見工作。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4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四、為便於最近親屬或家屬因急事須申請電話接見，設置申請電話接見專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線，電話號碼：（089）891609 或 891311 。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5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五、辦理電話接見之限制：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（一）申請辦理電話接見不分級數每7日受理乙次。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（二）收容人辦理電話接見，依監獄行刑法第六十二條之規定，以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最</w:t>
            </w:r>
            <w:proofErr w:type="gramEnd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近親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  屬及家屬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（</w:t>
            </w:r>
            <w:proofErr w:type="gramEnd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依監獄行刑法施行細則第八十條第二項規定，為求證明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  前述關係，收容人應提出足資證明文件或以調查資料認定之</w:t>
            </w:r>
            <w:proofErr w:type="gramStart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）</w:t>
            </w:r>
            <w:proofErr w:type="gramEnd"/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為限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  。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（三）使用電話費由收容人負擔。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6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六、電話接見通話時間每次不得逾 6  分鐘，但有特殊情形，經機關長官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許可者，得酌予延長。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7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七、收容人接見通話前必須先報自己之呼號、姓名，以利監聽錄音。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8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八、電話接見均設有監聽設備，如有收容人談話內容不宜者，立即斷話處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理。</w:t>
            </w:r>
          </w:p>
        </w:tc>
      </w:tr>
      <w:tr w:rsidR="00DB25B8" w:rsidRPr="00DB25B8" w:rsidTr="00D4544A">
        <w:tc>
          <w:tcPr>
            <w:tcW w:w="515" w:type="pct"/>
            <w:vAlign w:val="center"/>
            <w:hideMark/>
          </w:tcPr>
          <w:p w:rsidR="00DB25B8" w:rsidRPr="00DB25B8" w:rsidRDefault="00D4544A" w:rsidP="00DB25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" w:history="1">
              <w:r w:rsidR="00DB25B8" w:rsidRPr="00DB25B8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9</w:t>
              </w:r>
            </w:hyperlink>
          </w:p>
        </w:tc>
        <w:tc>
          <w:tcPr>
            <w:tcW w:w="4485" w:type="pct"/>
            <w:vAlign w:val="center"/>
            <w:hideMark/>
          </w:tcPr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>九、依監獄行刑法第六十四條規定：對認為有妨害監獄紀律及受刑人利益</w:t>
            </w:r>
          </w:p>
          <w:p w:rsidR="00DB25B8" w:rsidRPr="00DB25B8" w:rsidRDefault="00DB25B8" w:rsidP="00DB25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kern w:val="0"/>
                <w:szCs w:val="24"/>
              </w:rPr>
            </w:pPr>
            <w:r w:rsidRPr="00DB25B8">
              <w:rPr>
                <w:rFonts w:ascii="細明體" w:eastAsia="細明體" w:hAnsi="細明體" w:cs="細明體"/>
                <w:kern w:val="0"/>
                <w:szCs w:val="24"/>
              </w:rPr>
              <w:t xml:space="preserve">    者，不許接見。</w:t>
            </w:r>
          </w:p>
        </w:tc>
      </w:tr>
    </w:tbl>
    <w:p w:rsidR="000E7287" w:rsidRDefault="00D4544A"/>
    <w:sectPr w:rsidR="000E7287" w:rsidSect="00D92CDE">
      <w:pgSz w:w="11906" w:h="16838"/>
      <w:pgMar w:top="1440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54"/>
    <w:rsid w:val="00104B54"/>
    <w:rsid w:val="001B39F2"/>
    <w:rsid w:val="00424886"/>
    <w:rsid w:val="00D35537"/>
    <w:rsid w:val="00D4544A"/>
    <w:rsid w:val="00D92CDE"/>
    <w:rsid w:val="00DB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law.moj/LawContentExtent.aspx?LawID=FL010096&amp;LawNo=4&amp;ItemID=43293&amp;Amddate=20110106" TargetMode="External"/><Relationship Id="rId13" Type="http://schemas.openxmlformats.org/officeDocument/2006/relationships/hyperlink" Target="http://locallaw.moj/LawContentExtent.aspx?LawID=FL010096&amp;LawNo=9&amp;ItemID=43298&amp;Amddate=20110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callaw.moj/LawContentExtent.aspx?LawID=FL010096&amp;LawNo=3&amp;ItemID=43292&amp;Amddate=20110106" TargetMode="External"/><Relationship Id="rId12" Type="http://schemas.openxmlformats.org/officeDocument/2006/relationships/hyperlink" Target="http://locallaw.moj/LawContentExtent.aspx?LawID=FL010096&amp;LawNo=8&amp;ItemID=43297&amp;Amddate=201101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callaw.moj/LawContentExtent.aspx?LawID=FL010096&amp;LawNo=2&amp;ItemID=43291&amp;Amddate=20110106" TargetMode="External"/><Relationship Id="rId11" Type="http://schemas.openxmlformats.org/officeDocument/2006/relationships/hyperlink" Target="http://locallaw.moj/LawContentExtent.aspx?LawID=FL010096&amp;LawNo=7&amp;ItemID=43296&amp;Amddate=20110106" TargetMode="External"/><Relationship Id="rId5" Type="http://schemas.openxmlformats.org/officeDocument/2006/relationships/hyperlink" Target="http://locallaw.moj/LawContentExtent.aspx?LawID=FL010096&amp;LawNo=1&amp;ItemID=43290&amp;Amddate=201101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ocallaw.moj/LawContentExtent.aspx?LawID=FL010096&amp;LawNo=6&amp;ItemID=43295&amp;Amddate=20110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law.moj/LawContentExtent.aspx?LawID=FL010096&amp;LawNo=5&amp;ItemID=43294&amp;Amddate=201101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蔡侑財</dc:creator>
  <cp:keywords/>
  <dc:description/>
  <cp:lastModifiedBy>蔡侑財</cp:lastModifiedBy>
  <cp:revision>4</cp:revision>
  <dcterms:created xsi:type="dcterms:W3CDTF">2017-08-18T01:46:00Z</dcterms:created>
  <dcterms:modified xsi:type="dcterms:W3CDTF">2017-10-02T09:30:00Z</dcterms:modified>
</cp:coreProperties>
</file>